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C381F" w14:textId="502446DE" w:rsidR="006C70BA" w:rsidRDefault="006C70BA" w:rsidP="006C70BA">
      <w:pPr>
        <w:rPr>
          <w:lang w:val="en-US"/>
        </w:rPr>
      </w:pPr>
    </w:p>
    <w:tbl>
      <w:tblPr>
        <w:tblW w:w="9520" w:type="dxa"/>
        <w:tblInd w:w="-21" w:type="dxa"/>
        <w:tblLayout w:type="fixed"/>
        <w:tblLook w:val="0400" w:firstRow="0" w:lastRow="0" w:firstColumn="0" w:lastColumn="0" w:noHBand="0" w:noVBand="1"/>
      </w:tblPr>
      <w:tblGrid>
        <w:gridCol w:w="960"/>
        <w:gridCol w:w="2980"/>
        <w:gridCol w:w="2738"/>
        <w:gridCol w:w="2842"/>
      </w:tblGrid>
      <w:tr w:rsidR="006C70BA" w:rsidRPr="00021DD1" w14:paraId="6CD3719A" w14:textId="77777777" w:rsidTr="001B3934">
        <w:trPr>
          <w:cantSplit/>
          <w:trHeight w:val="765"/>
          <w:tblHeader/>
        </w:trPr>
        <w:tc>
          <w:tcPr>
            <w:tcW w:w="9520" w:type="dxa"/>
            <w:gridSpan w:val="4"/>
            <w:tcBorders>
              <w:top w:val="single" w:sz="4" w:space="0" w:color="000000"/>
              <w:left w:val="single" w:sz="4" w:space="0" w:color="000000"/>
              <w:bottom w:val="single" w:sz="4" w:space="0" w:color="000000"/>
              <w:right w:val="single" w:sz="4" w:space="0" w:color="000000"/>
            </w:tcBorders>
            <w:shd w:val="clear" w:color="auto" w:fill="auto"/>
          </w:tcPr>
          <w:p w14:paraId="69719E01" w14:textId="77777777" w:rsidR="006C70BA" w:rsidRPr="00021DD1" w:rsidRDefault="006C70BA" w:rsidP="001B3934">
            <w:pPr>
              <w:spacing w:after="0" w:line="240" w:lineRule="auto"/>
              <w:rPr>
                <w:rFonts w:eastAsia="Cambria" w:cstheme="minorHAnsi"/>
                <w:b/>
                <w:color w:val="000000"/>
                <w:sz w:val="20"/>
              </w:rPr>
            </w:pPr>
          </w:p>
          <w:p w14:paraId="46C774AA" w14:textId="77777777" w:rsidR="006C70BA" w:rsidRPr="00021DD1" w:rsidRDefault="006C70BA" w:rsidP="001B3934">
            <w:pPr>
              <w:spacing w:after="0" w:line="240" w:lineRule="auto"/>
              <w:rPr>
                <w:rFonts w:eastAsia="Cambria" w:cstheme="minorHAnsi"/>
                <w:b/>
                <w:color w:val="000000"/>
                <w:sz w:val="20"/>
              </w:rPr>
            </w:pPr>
            <w:r w:rsidRPr="00021DD1">
              <w:rPr>
                <w:rFonts w:eastAsia="Cambria" w:cstheme="minorHAnsi"/>
                <w:b/>
                <w:color w:val="000000"/>
                <w:sz w:val="20"/>
              </w:rPr>
              <w:t>Approval for sharing of Virtual Private Network (VPN) Infrastructure with their other operating Units</w:t>
            </w:r>
          </w:p>
        </w:tc>
      </w:tr>
      <w:tr w:rsidR="006C70BA" w:rsidRPr="00021DD1" w14:paraId="700107DE" w14:textId="77777777" w:rsidTr="001B3934">
        <w:trPr>
          <w:cantSplit/>
          <w:trHeight w:val="505"/>
          <w:tblHeader/>
        </w:trPr>
        <w:tc>
          <w:tcPr>
            <w:tcW w:w="960" w:type="dxa"/>
            <w:tcBorders>
              <w:top w:val="nil"/>
              <w:left w:val="single" w:sz="4" w:space="0" w:color="000000"/>
              <w:bottom w:val="single" w:sz="4" w:space="0" w:color="000000"/>
              <w:right w:val="single" w:sz="4" w:space="0" w:color="000000"/>
            </w:tcBorders>
            <w:shd w:val="clear" w:color="auto" w:fill="auto"/>
          </w:tcPr>
          <w:p w14:paraId="06BA049B"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1</w:t>
            </w:r>
          </w:p>
        </w:tc>
        <w:tc>
          <w:tcPr>
            <w:tcW w:w="2980" w:type="dxa"/>
            <w:tcBorders>
              <w:top w:val="nil"/>
              <w:left w:val="nil"/>
              <w:bottom w:val="single" w:sz="4" w:space="0" w:color="000000"/>
              <w:right w:val="single" w:sz="4" w:space="0" w:color="000000"/>
            </w:tcBorders>
            <w:shd w:val="clear" w:color="auto" w:fill="auto"/>
          </w:tcPr>
          <w:p w14:paraId="294F51E7"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Name of the Unit</w:t>
            </w:r>
          </w:p>
        </w:tc>
        <w:tc>
          <w:tcPr>
            <w:tcW w:w="5580" w:type="dxa"/>
            <w:gridSpan w:val="2"/>
            <w:tcBorders>
              <w:top w:val="nil"/>
              <w:left w:val="nil"/>
              <w:bottom w:val="single" w:sz="4" w:space="0" w:color="000000"/>
              <w:right w:val="single" w:sz="4" w:space="0" w:color="000000"/>
            </w:tcBorders>
            <w:shd w:val="clear" w:color="auto" w:fill="auto"/>
          </w:tcPr>
          <w:p w14:paraId="6305C91B" w14:textId="77777777" w:rsidR="006C70BA" w:rsidRPr="00021DD1" w:rsidRDefault="006C70BA" w:rsidP="001B3934">
            <w:pPr>
              <w:spacing w:after="0" w:line="240" w:lineRule="auto"/>
              <w:rPr>
                <w:rFonts w:eastAsia="Cambria" w:cstheme="minorHAnsi"/>
                <w:color w:val="000000"/>
                <w:sz w:val="20"/>
              </w:rPr>
            </w:pPr>
          </w:p>
        </w:tc>
      </w:tr>
      <w:tr w:rsidR="006C70BA" w:rsidRPr="00021DD1" w14:paraId="4047A400" w14:textId="77777777" w:rsidTr="001B3934">
        <w:trPr>
          <w:cantSplit/>
          <w:trHeight w:val="413"/>
          <w:tblHeader/>
        </w:trPr>
        <w:tc>
          <w:tcPr>
            <w:tcW w:w="960" w:type="dxa"/>
            <w:tcBorders>
              <w:top w:val="nil"/>
              <w:left w:val="single" w:sz="4" w:space="0" w:color="000000"/>
              <w:bottom w:val="single" w:sz="4" w:space="0" w:color="000000"/>
              <w:right w:val="single" w:sz="4" w:space="0" w:color="000000"/>
            </w:tcBorders>
            <w:shd w:val="clear" w:color="auto" w:fill="auto"/>
          </w:tcPr>
          <w:p w14:paraId="7297C189"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2</w:t>
            </w:r>
          </w:p>
        </w:tc>
        <w:tc>
          <w:tcPr>
            <w:tcW w:w="2980" w:type="dxa"/>
            <w:tcBorders>
              <w:top w:val="nil"/>
              <w:left w:val="nil"/>
              <w:bottom w:val="single" w:sz="4" w:space="0" w:color="000000"/>
              <w:right w:val="single" w:sz="4" w:space="0" w:color="000000"/>
            </w:tcBorders>
            <w:shd w:val="clear" w:color="auto" w:fill="auto"/>
          </w:tcPr>
          <w:p w14:paraId="42E8A892"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Name of the SEZ</w:t>
            </w:r>
          </w:p>
        </w:tc>
        <w:tc>
          <w:tcPr>
            <w:tcW w:w="5580" w:type="dxa"/>
            <w:gridSpan w:val="2"/>
            <w:tcBorders>
              <w:top w:val="nil"/>
              <w:left w:val="nil"/>
              <w:bottom w:val="single" w:sz="4" w:space="0" w:color="000000"/>
              <w:right w:val="single" w:sz="4" w:space="0" w:color="000000"/>
            </w:tcBorders>
            <w:shd w:val="clear" w:color="auto" w:fill="auto"/>
          </w:tcPr>
          <w:p w14:paraId="7297AFFE" w14:textId="77777777" w:rsidR="006C70BA" w:rsidRPr="00021DD1" w:rsidRDefault="006C70BA" w:rsidP="001B3934">
            <w:pPr>
              <w:spacing w:after="0" w:line="240" w:lineRule="auto"/>
              <w:rPr>
                <w:rFonts w:eastAsia="Cambria" w:cstheme="minorHAnsi"/>
                <w:color w:val="000000"/>
                <w:sz w:val="20"/>
              </w:rPr>
            </w:pPr>
          </w:p>
        </w:tc>
      </w:tr>
      <w:tr w:rsidR="006C70BA" w:rsidRPr="00021DD1" w14:paraId="3ED55F4A" w14:textId="77777777" w:rsidTr="001B3934">
        <w:trPr>
          <w:cantSplit/>
          <w:trHeight w:val="419"/>
          <w:tblHeader/>
        </w:trPr>
        <w:tc>
          <w:tcPr>
            <w:tcW w:w="960" w:type="dxa"/>
            <w:tcBorders>
              <w:top w:val="nil"/>
              <w:left w:val="single" w:sz="4" w:space="0" w:color="000000"/>
              <w:bottom w:val="single" w:sz="4" w:space="0" w:color="000000"/>
              <w:right w:val="single" w:sz="4" w:space="0" w:color="000000"/>
            </w:tcBorders>
            <w:shd w:val="clear" w:color="auto" w:fill="auto"/>
          </w:tcPr>
          <w:p w14:paraId="176B703D"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3</w:t>
            </w:r>
          </w:p>
        </w:tc>
        <w:tc>
          <w:tcPr>
            <w:tcW w:w="2980" w:type="dxa"/>
            <w:tcBorders>
              <w:top w:val="nil"/>
              <w:left w:val="nil"/>
              <w:bottom w:val="single" w:sz="4" w:space="0" w:color="000000"/>
              <w:right w:val="single" w:sz="4" w:space="0" w:color="000000"/>
            </w:tcBorders>
            <w:shd w:val="clear" w:color="auto" w:fill="auto"/>
          </w:tcPr>
          <w:p w14:paraId="0FBD9EA4"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 xml:space="preserve">LOA NO </w:t>
            </w:r>
          </w:p>
        </w:tc>
        <w:tc>
          <w:tcPr>
            <w:tcW w:w="5580" w:type="dxa"/>
            <w:gridSpan w:val="2"/>
            <w:tcBorders>
              <w:top w:val="nil"/>
              <w:left w:val="nil"/>
              <w:bottom w:val="single" w:sz="4" w:space="0" w:color="000000"/>
              <w:right w:val="single" w:sz="4" w:space="0" w:color="000000"/>
            </w:tcBorders>
            <w:shd w:val="clear" w:color="auto" w:fill="auto"/>
          </w:tcPr>
          <w:p w14:paraId="787BC22E" w14:textId="77777777" w:rsidR="006C70BA" w:rsidRPr="00021DD1" w:rsidRDefault="006C70BA" w:rsidP="001B3934">
            <w:pPr>
              <w:spacing w:after="0" w:line="240" w:lineRule="auto"/>
              <w:rPr>
                <w:rFonts w:eastAsia="Cambria" w:cstheme="minorHAnsi"/>
                <w:color w:val="000000"/>
                <w:sz w:val="20"/>
              </w:rPr>
            </w:pPr>
          </w:p>
        </w:tc>
      </w:tr>
      <w:tr w:rsidR="006C70BA" w:rsidRPr="00021DD1" w14:paraId="291B2695" w14:textId="77777777" w:rsidTr="001B3934">
        <w:trPr>
          <w:cantSplit/>
          <w:trHeight w:val="419"/>
          <w:tblHeader/>
        </w:trPr>
        <w:tc>
          <w:tcPr>
            <w:tcW w:w="960" w:type="dxa"/>
            <w:tcBorders>
              <w:top w:val="nil"/>
              <w:left w:val="single" w:sz="4" w:space="0" w:color="000000"/>
              <w:bottom w:val="single" w:sz="4" w:space="0" w:color="000000"/>
              <w:right w:val="single" w:sz="4" w:space="0" w:color="000000"/>
            </w:tcBorders>
            <w:shd w:val="clear" w:color="auto" w:fill="auto"/>
          </w:tcPr>
          <w:p w14:paraId="1AB56809"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4</w:t>
            </w:r>
          </w:p>
        </w:tc>
        <w:tc>
          <w:tcPr>
            <w:tcW w:w="2980" w:type="dxa"/>
            <w:tcBorders>
              <w:top w:val="nil"/>
              <w:left w:val="nil"/>
              <w:bottom w:val="single" w:sz="4" w:space="0" w:color="000000"/>
              <w:right w:val="single" w:sz="4" w:space="0" w:color="000000"/>
            </w:tcBorders>
            <w:shd w:val="clear" w:color="auto" w:fill="auto"/>
          </w:tcPr>
          <w:p w14:paraId="3C64E60E"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 xml:space="preserve">DCP Date &amp; Block Period </w:t>
            </w:r>
          </w:p>
        </w:tc>
        <w:tc>
          <w:tcPr>
            <w:tcW w:w="5580" w:type="dxa"/>
            <w:gridSpan w:val="2"/>
            <w:tcBorders>
              <w:top w:val="nil"/>
              <w:left w:val="nil"/>
              <w:bottom w:val="single" w:sz="4" w:space="0" w:color="000000"/>
              <w:right w:val="single" w:sz="4" w:space="0" w:color="000000"/>
            </w:tcBorders>
            <w:shd w:val="clear" w:color="auto" w:fill="auto"/>
          </w:tcPr>
          <w:p w14:paraId="05DA7730" w14:textId="77777777" w:rsidR="006C70BA" w:rsidRPr="00021DD1" w:rsidRDefault="006C70BA" w:rsidP="001B3934">
            <w:pPr>
              <w:spacing w:after="0" w:line="240" w:lineRule="auto"/>
              <w:rPr>
                <w:rFonts w:eastAsia="Cambria" w:cstheme="minorHAnsi"/>
                <w:color w:val="000000"/>
                <w:sz w:val="20"/>
              </w:rPr>
            </w:pPr>
          </w:p>
        </w:tc>
      </w:tr>
      <w:tr w:rsidR="006C70BA" w:rsidRPr="00021DD1" w14:paraId="497B6294" w14:textId="77777777" w:rsidTr="001B3934">
        <w:trPr>
          <w:cantSplit/>
          <w:trHeight w:val="419"/>
          <w:tblHeader/>
        </w:trPr>
        <w:tc>
          <w:tcPr>
            <w:tcW w:w="960" w:type="dxa"/>
            <w:tcBorders>
              <w:top w:val="nil"/>
              <w:left w:val="single" w:sz="4" w:space="0" w:color="000000"/>
              <w:bottom w:val="single" w:sz="4" w:space="0" w:color="000000"/>
              <w:right w:val="single" w:sz="4" w:space="0" w:color="000000"/>
            </w:tcBorders>
            <w:shd w:val="clear" w:color="auto" w:fill="auto"/>
          </w:tcPr>
          <w:p w14:paraId="11A3FA2C"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5</w:t>
            </w:r>
          </w:p>
        </w:tc>
        <w:tc>
          <w:tcPr>
            <w:tcW w:w="2980" w:type="dxa"/>
            <w:tcBorders>
              <w:top w:val="nil"/>
              <w:left w:val="nil"/>
              <w:bottom w:val="single" w:sz="4" w:space="0" w:color="000000"/>
              <w:right w:val="single" w:sz="4" w:space="0" w:color="000000"/>
            </w:tcBorders>
            <w:shd w:val="clear" w:color="auto" w:fill="auto"/>
          </w:tcPr>
          <w:p w14:paraId="5AC12DDE"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 xml:space="preserve">Authorized Operations </w:t>
            </w:r>
          </w:p>
        </w:tc>
        <w:tc>
          <w:tcPr>
            <w:tcW w:w="5580" w:type="dxa"/>
            <w:gridSpan w:val="2"/>
            <w:tcBorders>
              <w:top w:val="nil"/>
              <w:left w:val="nil"/>
              <w:bottom w:val="single" w:sz="4" w:space="0" w:color="000000"/>
              <w:right w:val="single" w:sz="4" w:space="0" w:color="000000"/>
            </w:tcBorders>
            <w:shd w:val="clear" w:color="auto" w:fill="auto"/>
          </w:tcPr>
          <w:p w14:paraId="40098D38" w14:textId="77777777" w:rsidR="006C70BA" w:rsidRPr="00021DD1" w:rsidRDefault="006C70BA" w:rsidP="001B3934">
            <w:pPr>
              <w:spacing w:after="0" w:line="240" w:lineRule="auto"/>
              <w:rPr>
                <w:rFonts w:eastAsia="Cambria" w:cstheme="minorHAnsi"/>
                <w:color w:val="000000"/>
                <w:sz w:val="20"/>
              </w:rPr>
            </w:pPr>
          </w:p>
        </w:tc>
      </w:tr>
      <w:tr w:rsidR="006C70BA" w:rsidRPr="00021DD1" w14:paraId="11AD2A99" w14:textId="77777777" w:rsidTr="001B3934">
        <w:trPr>
          <w:cantSplit/>
          <w:trHeight w:val="419"/>
          <w:tblHeader/>
        </w:trPr>
        <w:tc>
          <w:tcPr>
            <w:tcW w:w="960" w:type="dxa"/>
            <w:tcBorders>
              <w:top w:val="nil"/>
              <w:left w:val="single" w:sz="4" w:space="0" w:color="000000"/>
              <w:bottom w:val="single" w:sz="4" w:space="0" w:color="000000"/>
              <w:right w:val="single" w:sz="4" w:space="0" w:color="000000"/>
            </w:tcBorders>
            <w:shd w:val="clear" w:color="auto" w:fill="auto"/>
          </w:tcPr>
          <w:p w14:paraId="1D819B50"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6</w:t>
            </w:r>
          </w:p>
        </w:tc>
        <w:tc>
          <w:tcPr>
            <w:tcW w:w="2980" w:type="dxa"/>
            <w:tcBorders>
              <w:top w:val="nil"/>
              <w:left w:val="nil"/>
              <w:bottom w:val="single" w:sz="4" w:space="0" w:color="000000"/>
              <w:right w:val="single" w:sz="4" w:space="0" w:color="000000"/>
            </w:tcBorders>
            <w:shd w:val="clear" w:color="auto" w:fill="auto"/>
          </w:tcPr>
          <w:p w14:paraId="103013D9"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 xml:space="preserve">Request of Unit </w:t>
            </w:r>
          </w:p>
        </w:tc>
        <w:tc>
          <w:tcPr>
            <w:tcW w:w="5580" w:type="dxa"/>
            <w:gridSpan w:val="2"/>
            <w:tcBorders>
              <w:top w:val="nil"/>
              <w:left w:val="nil"/>
              <w:bottom w:val="single" w:sz="4" w:space="0" w:color="000000"/>
              <w:right w:val="single" w:sz="4" w:space="0" w:color="000000"/>
            </w:tcBorders>
            <w:shd w:val="clear" w:color="auto" w:fill="auto"/>
          </w:tcPr>
          <w:p w14:paraId="1F761FC2" w14:textId="77777777" w:rsidR="006C70BA" w:rsidRPr="00021DD1" w:rsidRDefault="006C70BA" w:rsidP="001B3934">
            <w:pPr>
              <w:spacing w:after="0" w:line="240" w:lineRule="auto"/>
              <w:rPr>
                <w:rFonts w:eastAsia="Cambria" w:cstheme="minorHAnsi"/>
                <w:color w:val="000000"/>
                <w:sz w:val="20"/>
              </w:rPr>
            </w:pPr>
          </w:p>
        </w:tc>
      </w:tr>
      <w:tr w:rsidR="006C70BA" w:rsidRPr="00021DD1" w14:paraId="5253C7E3" w14:textId="77777777" w:rsidTr="001B3934">
        <w:trPr>
          <w:cantSplit/>
          <w:trHeight w:val="419"/>
          <w:tblHeader/>
        </w:trPr>
        <w:tc>
          <w:tcPr>
            <w:tcW w:w="960" w:type="dxa"/>
            <w:tcBorders>
              <w:top w:val="nil"/>
              <w:left w:val="single" w:sz="4" w:space="0" w:color="000000"/>
              <w:bottom w:val="single" w:sz="4" w:space="0" w:color="000000"/>
              <w:right w:val="single" w:sz="4" w:space="0" w:color="000000"/>
            </w:tcBorders>
            <w:shd w:val="clear" w:color="auto" w:fill="auto"/>
          </w:tcPr>
          <w:p w14:paraId="3B47F03F"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7.</w:t>
            </w:r>
          </w:p>
        </w:tc>
        <w:tc>
          <w:tcPr>
            <w:tcW w:w="2980" w:type="dxa"/>
            <w:tcBorders>
              <w:top w:val="nil"/>
              <w:left w:val="nil"/>
              <w:bottom w:val="single" w:sz="4" w:space="0" w:color="000000"/>
              <w:right w:val="single" w:sz="4" w:space="0" w:color="000000"/>
            </w:tcBorders>
            <w:shd w:val="clear" w:color="auto" w:fill="auto"/>
          </w:tcPr>
          <w:p w14:paraId="51D8715C"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 xml:space="preserve">Rule Provision of SEZ </w:t>
            </w:r>
          </w:p>
        </w:tc>
        <w:tc>
          <w:tcPr>
            <w:tcW w:w="5580" w:type="dxa"/>
            <w:gridSpan w:val="2"/>
            <w:tcBorders>
              <w:top w:val="nil"/>
              <w:left w:val="nil"/>
              <w:bottom w:val="single" w:sz="4" w:space="0" w:color="000000"/>
              <w:right w:val="single" w:sz="4" w:space="0" w:color="000000"/>
            </w:tcBorders>
            <w:shd w:val="clear" w:color="auto" w:fill="auto"/>
          </w:tcPr>
          <w:p w14:paraId="7781B368" w14:textId="77777777" w:rsidR="006C70BA" w:rsidRPr="00021DD1" w:rsidRDefault="006C70BA" w:rsidP="001B3934">
            <w:pPr>
              <w:rPr>
                <w:rFonts w:cstheme="minorHAnsi"/>
                <w:b/>
                <w:bCs/>
                <w:sz w:val="20"/>
                <w:u w:val="single"/>
              </w:rPr>
            </w:pPr>
            <w:r w:rsidRPr="00021DD1">
              <w:rPr>
                <w:rFonts w:cstheme="minorHAnsi"/>
                <w:b/>
                <w:bCs/>
                <w:sz w:val="20"/>
                <w:u w:val="single"/>
              </w:rPr>
              <w:t>Rule 27(5)</w:t>
            </w:r>
          </w:p>
          <w:p w14:paraId="45CC8694" w14:textId="77777777" w:rsidR="006C70BA" w:rsidRPr="00021DD1" w:rsidRDefault="006C70BA" w:rsidP="001B3934">
            <w:pPr>
              <w:rPr>
                <w:rFonts w:cstheme="minorHAnsi"/>
                <w:b/>
                <w:bCs/>
                <w:i/>
                <w:iCs/>
                <w:sz w:val="20"/>
              </w:rPr>
            </w:pPr>
            <w:r w:rsidRPr="00021DD1">
              <w:rPr>
                <w:rFonts w:cstheme="minorHAnsi"/>
                <w:b/>
                <w:bCs/>
                <w:i/>
                <w:iCs/>
                <w:sz w:val="20"/>
              </w:rPr>
              <w:t xml:space="preserve">“A unit may import or procure from Domestic Tariff Area, all types of goods and services, without payment of Duty, taxes or cess for creating a central facility for use by Units in Special Economic Zone and where such facility is created for software development, the same may also be accessed by software exporters of Domestic Tariff Area” </w:t>
            </w:r>
          </w:p>
        </w:tc>
      </w:tr>
      <w:tr w:rsidR="006C70BA" w:rsidRPr="00021DD1" w14:paraId="6F2E512D" w14:textId="77777777" w:rsidTr="001B3934">
        <w:trPr>
          <w:cantSplit/>
          <w:trHeight w:val="419"/>
          <w:tblHeader/>
        </w:trPr>
        <w:tc>
          <w:tcPr>
            <w:tcW w:w="960" w:type="dxa"/>
            <w:tcBorders>
              <w:top w:val="nil"/>
              <w:left w:val="single" w:sz="4" w:space="0" w:color="000000"/>
              <w:bottom w:val="single" w:sz="4" w:space="0" w:color="000000"/>
              <w:right w:val="single" w:sz="4" w:space="0" w:color="000000"/>
            </w:tcBorders>
            <w:shd w:val="clear" w:color="auto" w:fill="auto"/>
          </w:tcPr>
          <w:p w14:paraId="73282D6C"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8</w:t>
            </w:r>
          </w:p>
        </w:tc>
        <w:tc>
          <w:tcPr>
            <w:tcW w:w="8560" w:type="dxa"/>
            <w:gridSpan w:val="3"/>
            <w:tcBorders>
              <w:top w:val="nil"/>
              <w:left w:val="nil"/>
              <w:bottom w:val="single" w:sz="4" w:space="0" w:color="000000"/>
              <w:right w:val="single" w:sz="4" w:space="0" w:color="000000"/>
            </w:tcBorders>
            <w:shd w:val="clear" w:color="auto" w:fill="auto"/>
          </w:tcPr>
          <w:p w14:paraId="67637FE5" w14:textId="77777777" w:rsidR="006C70BA" w:rsidRPr="00021DD1" w:rsidRDefault="006C70BA" w:rsidP="001B3934">
            <w:pPr>
              <w:rPr>
                <w:rFonts w:cstheme="minorHAnsi"/>
                <w:b/>
                <w:bCs/>
                <w:sz w:val="20"/>
                <w:u w:val="single"/>
              </w:rPr>
            </w:pPr>
            <w:r w:rsidRPr="00021DD1">
              <w:rPr>
                <w:rFonts w:cstheme="minorHAnsi"/>
                <w:b/>
                <w:bCs/>
                <w:sz w:val="20"/>
                <w:u w:val="single"/>
              </w:rPr>
              <w:t xml:space="preserve">Details of Infrastructure to be shared with DTA unit </w:t>
            </w:r>
            <w:proofErr w:type="spellStart"/>
            <w:r w:rsidRPr="00021DD1">
              <w:rPr>
                <w:rFonts w:cstheme="minorHAnsi"/>
                <w:b/>
                <w:bCs/>
                <w:sz w:val="20"/>
                <w:u w:val="single"/>
              </w:rPr>
              <w:t>Mumabi</w:t>
            </w:r>
            <w:proofErr w:type="spellEnd"/>
            <w:r w:rsidRPr="00021DD1">
              <w:rPr>
                <w:rFonts w:cstheme="minorHAnsi"/>
                <w:b/>
                <w:bCs/>
                <w:sz w:val="20"/>
                <w:u w:val="single"/>
              </w:rPr>
              <w:t xml:space="preserve"> </w:t>
            </w:r>
          </w:p>
        </w:tc>
      </w:tr>
      <w:tr w:rsidR="006C70BA" w:rsidRPr="00021DD1" w14:paraId="3EBF0C7B" w14:textId="77777777" w:rsidTr="001B3934">
        <w:trPr>
          <w:cantSplit/>
          <w:trHeight w:val="765"/>
          <w:tblHeader/>
        </w:trPr>
        <w:tc>
          <w:tcPr>
            <w:tcW w:w="960" w:type="dxa"/>
            <w:tcBorders>
              <w:top w:val="nil"/>
              <w:left w:val="single" w:sz="4" w:space="0" w:color="000000"/>
              <w:bottom w:val="single" w:sz="4" w:space="0" w:color="000000"/>
              <w:right w:val="single" w:sz="4" w:space="0" w:color="000000"/>
            </w:tcBorders>
            <w:shd w:val="clear" w:color="auto" w:fill="auto"/>
          </w:tcPr>
          <w:p w14:paraId="5EED1525" w14:textId="77777777" w:rsidR="006C70BA" w:rsidRPr="00021DD1" w:rsidRDefault="006C70BA" w:rsidP="001B3934">
            <w:pPr>
              <w:spacing w:after="0" w:line="240" w:lineRule="auto"/>
              <w:rPr>
                <w:rFonts w:eastAsia="Cambria" w:cstheme="minorHAnsi"/>
                <w:color w:val="000000"/>
                <w:sz w:val="20"/>
              </w:rPr>
            </w:pPr>
          </w:p>
        </w:tc>
        <w:tc>
          <w:tcPr>
            <w:tcW w:w="2980" w:type="dxa"/>
            <w:tcBorders>
              <w:top w:val="nil"/>
              <w:left w:val="nil"/>
              <w:bottom w:val="single" w:sz="4" w:space="0" w:color="000000"/>
              <w:right w:val="single" w:sz="4" w:space="0" w:color="000000"/>
            </w:tcBorders>
            <w:shd w:val="clear" w:color="auto" w:fill="auto"/>
          </w:tcPr>
          <w:p w14:paraId="48511890" w14:textId="77777777" w:rsidR="006C70BA" w:rsidRPr="00021DD1" w:rsidRDefault="006C70BA" w:rsidP="001B3934">
            <w:pPr>
              <w:spacing w:after="0" w:line="240" w:lineRule="auto"/>
              <w:rPr>
                <w:rFonts w:eastAsia="Cambria" w:cstheme="minorHAnsi"/>
                <w:b/>
                <w:color w:val="000000"/>
                <w:sz w:val="20"/>
              </w:rPr>
            </w:pPr>
            <w:r w:rsidRPr="00021DD1">
              <w:rPr>
                <w:rFonts w:eastAsia="Cambria" w:cstheme="minorHAnsi"/>
                <w:b/>
                <w:color w:val="000000"/>
                <w:sz w:val="20"/>
              </w:rPr>
              <w:t>Particulars</w:t>
            </w:r>
          </w:p>
        </w:tc>
        <w:tc>
          <w:tcPr>
            <w:tcW w:w="2738" w:type="dxa"/>
            <w:tcBorders>
              <w:top w:val="nil"/>
              <w:left w:val="nil"/>
              <w:bottom w:val="single" w:sz="4" w:space="0" w:color="000000"/>
              <w:right w:val="single" w:sz="4" w:space="0" w:color="000000"/>
            </w:tcBorders>
            <w:shd w:val="clear" w:color="auto" w:fill="auto"/>
          </w:tcPr>
          <w:p w14:paraId="6A282A45" w14:textId="77777777" w:rsidR="006C70BA" w:rsidRPr="00021DD1" w:rsidRDefault="006C70BA" w:rsidP="001B3934">
            <w:pPr>
              <w:spacing w:after="0" w:line="240" w:lineRule="auto"/>
              <w:rPr>
                <w:rFonts w:eastAsia="Cambria" w:cstheme="minorHAnsi"/>
                <w:b/>
                <w:color w:val="000000"/>
                <w:sz w:val="20"/>
              </w:rPr>
            </w:pPr>
            <w:r w:rsidRPr="00021DD1">
              <w:rPr>
                <w:rFonts w:eastAsia="Cambria" w:cstheme="minorHAnsi"/>
                <w:b/>
                <w:color w:val="000000"/>
                <w:sz w:val="20"/>
              </w:rPr>
              <w:t>Location</w:t>
            </w:r>
          </w:p>
        </w:tc>
        <w:tc>
          <w:tcPr>
            <w:tcW w:w="2842" w:type="dxa"/>
            <w:tcBorders>
              <w:top w:val="nil"/>
              <w:left w:val="nil"/>
              <w:bottom w:val="single" w:sz="4" w:space="0" w:color="000000"/>
              <w:right w:val="single" w:sz="4" w:space="0" w:color="000000"/>
            </w:tcBorders>
            <w:shd w:val="clear" w:color="auto" w:fill="auto"/>
          </w:tcPr>
          <w:p w14:paraId="21EA90BB" w14:textId="77777777" w:rsidR="006C70BA" w:rsidRPr="00021DD1" w:rsidRDefault="006C70BA" w:rsidP="001B3934">
            <w:pPr>
              <w:spacing w:after="0" w:line="240" w:lineRule="auto"/>
              <w:rPr>
                <w:rFonts w:eastAsia="Cambria" w:cstheme="minorHAnsi"/>
                <w:b/>
                <w:color w:val="000000"/>
                <w:sz w:val="20"/>
              </w:rPr>
            </w:pPr>
            <w:r w:rsidRPr="00021DD1">
              <w:rPr>
                <w:rFonts w:eastAsia="Cambria" w:cstheme="minorHAnsi"/>
                <w:b/>
                <w:color w:val="000000"/>
                <w:sz w:val="20"/>
              </w:rPr>
              <w:t>Common Network Equipment</w:t>
            </w:r>
          </w:p>
        </w:tc>
      </w:tr>
      <w:tr w:rsidR="006C70BA" w:rsidRPr="00021DD1" w14:paraId="65DF7E60" w14:textId="77777777" w:rsidTr="001B3934">
        <w:trPr>
          <w:cantSplit/>
          <w:trHeight w:val="765"/>
          <w:tblHeader/>
        </w:trPr>
        <w:tc>
          <w:tcPr>
            <w:tcW w:w="960" w:type="dxa"/>
            <w:tcBorders>
              <w:top w:val="nil"/>
              <w:left w:val="single" w:sz="4" w:space="0" w:color="000000"/>
              <w:bottom w:val="single" w:sz="4" w:space="0" w:color="000000"/>
              <w:right w:val="single" w:sz="4" w:space="0" w:color="000000"/>
            </w:tcBorders>
            <w:shd w:val="clear" w:color="auto" w:fill="auto"/>
          </w:tcPr>
          <w:p w14:paraId="424EAD84"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 </w:t>
            </w:r>
          </w:p>
        </w:tc>
        <w:tc>
          <w:tcPr>
            <w:tcW w:w="2980" w:type="dxa"/>
            <w:tcBorders>
              <w:top w:val="nil"/>
              <w:left w:val="nil"/>
              <w:bottom w:val="single" w:sz="4" w:space="0" w:color="000000"/>
              <w:right w:val="single" w:sz="4" w:space="0" w:color="000000"/>
            </w:tcBorders>
            <w:shd w:val="clear" w:color="auto" w:fill="auto"/>
          </w:tcPr>
          <w:p w14:paraId="5F636AD5"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Virtual Private Network infrastructure</w:t>
            </w:r>
          </w:p>
        </w:tc>
        <w:tc>
          <w:tcPr>
            <w:tcW w:w="2738" w:type="dxa"/>
            <w:tcBorders>
              <w:top w:val="nil"/>
              <w:left w:val="nil"/>
              <w:bottom w:val="single" w:sz="4" w:space="0" w:color="000000"/>
              <w:right w:val="single" w:sz="4" w:space="0" w:color="000000"/>
            </w:tcBorders>
            <w:shd w:val="clear" w:color="auto" w:fill="auto"/>
          </w:tcPr>
          <w:p w14:paraId="04064AF8" w14:textId="77777777" w:rsidR="006C70BA" w:rsidRPr="00021DD1" w:rsidRDefault="006C70BA" w:rsidP="001B3934">
            <w:pPr>
              <w:spacing w:after="0" w:line="240" w:lineRule="auto"/>
              <w:rPr>
                <w:rFonts w:eastAsia="Cambria" w:cstheme="minorHAnsi"/>
                <w:color w:val="000000"/>
                <w:sz w:val="20"/>
              </w:rPr>
            </w:pPr>
          </w:p>
        </w:tc>
        <w:tc>
          <w:tcPr>
            <w:tcW w:w="2842" w:type="dxa"/>
            <w:tcBorders>
              <w:top w:val="nil"/>
              <w:left w:val="nil"/>
              <w:bottom w:val="single" w:sz="4" w:space="0" w:color="000000"/>
              <w:right w:val="single" w:sz="4" w:space="0" w:color="000000"/>
            </w:tcBorders>
            <w:shd w:val="clear" w:color="auto" w:fill="auto"/>
          </w:tcPr>
          <w:p w14:paraId="0076BA8E" w14:textId="77777777" w:rsidR="006C70BA" w:rsidRPr="00021DD1" w:rsidRDefault="006C70BA" w:rsidP="001B3934">
            <w:pPr>
              <w:pStyle w:val="ListParagraph"/>
              <w:numPr>
                <w:ilvl w:val="0"/>
                <w:numId w:val="1"/>
              </w:numPr>
              <w:spacing w:after="0" w:line="240" w:lineRule="auto"/>
              <w:rPr>
                <w:rFonts w:asciiTheme="minorHAnsi" w:eastAsia="Cambria" w:hAnsiTheme="minorHAnsi" w:cstheme="minorHAnsi"/>
                <w:color w:val="000000"/>
                <w:sz w:val="20"/>
              </w:rPr>
            </w:pPr>
          </w:p>
        </w:tc>
      </w:tr>
      <w:tr w:rsidR="006C70BA" w:rsidRPr="00021DD1" w14:paraId="3C884DC9" w14:textId="77777777" w:rsidTr="001B3934">
        <w:trPr>
          <w:cantSplit/>
          <w:trHeight w:val="765"/>
          <w:tblHeader/>
        </w:trPr>
        <w:tc>
          <w:tcPr>
            <w:tcW w:w="960" w:type="dxa"/>
            <w:tcBorders>
              <w:top w:val="nil"/>
              <w:left w:val="single" w:sz="4" w:space="0" w:color="000000"/>
              <w:bottom w:val="single" w:sz="4" w:space="0" w:color="auto"/>
              <w:right w:val="single" w:sz="4" w:space="0" w:color="000000"/>
            </w:tcBorders>
            <w:shd w:val="clear" w:color="auto" w:fill="auto"/>
          </w:tcPr>
          <w:p w14:paraId="4A0009D5"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 9</w:t>
            </w:r>
          </w:p>
        </w:tc>
        <w:tc>
          <w:tcPr>
            <w:tcW w:w="2980" w:type="dxa"/>
            <w:tcBorders>
              <w:top w:val="nil"/>
              <w:left w:val="nil"/>
              <w:bottom w:val="single" w:sz="4" w:space="0" w:color="auto"/>
              <w:right w:val="single" w:sz="4" w:space="0" w:color="000000"/>
            </w:tcBorders>
            <w:shd w:val="clear" w:color="auto" w:fill="auto"/>
          </w:tcPr>
          <w:p w14:paraId="7E861754"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 xml:space="preserve"> Submission of Units </w:t>
            </w:r>
          </w:p>
        </w:tc>
        <w:tc>
          <w:tcPr>
            <w:tcW w:w="5580" w:type="dxa"/>
            <w:gridSpan w:val="2"/>
            <w:tcBorders>
              <w:top w:val="nil"/>
              <w:left w:val="nil"/>
              <w:bottom w:val="single" w:sz="4" w:space="0" w:color="auto"/>
              <w:right w:val="single" w:sz="4" w:space="0" w:color="000000"/>
            </w:tcBorders>
            <w:shd w:val="clear" w:color="auto" w:fill="auto"/>
          </w:tcPr>
          <w:p w14:paraId="7939E161" w14:textId="77777777" w:rsidR="006C70BA" w:rsidRPr="00021DD1" w:rsidRDefault="006C70BA" w:rsidP="001B3934">
            <w:pPr>
              <w:spacing w:after="0" w:line="240" w:lineRule="auto"/>
              <w:jc w:val="both"/>
              <w:rPr>
                <w:rFonts w:eastAsia="Cambria" w:cstheme="minorHAnsi"/>
                <w:color w:val="000000"/>
                <w:sz w:val="20"/>
              </w:rPr>
            </w:pPr>
            <w:r w:rsidRPr="00021DD1">
              <w:rPr>
                <w:rFonts w:eastAsia="Cambria" w:cstheme="minorHAnsi"/>
                <w:color w:val="000000"/>
                <w:sz w:val="20"/>
              </w:rPr>
              <w:t xml:space="preserve">The unit has also stated that due to this VPN sharing process, It have no effect on SEZs Exports and projections.  </w:t>
            </w:r>
            <w:r w:rsidRPr="00021DD1">
              <w:rPr>
                <w:rFonts w:eastAsia="Cambria" w:cstheme="minorHAnsi"/>
                <w:b/>
                <w:bCs/>
                <w:color w:val="000000"/>
                <w:sz w:val="20"/>
                <w:u w:val="single"/>
              </w:rPr>
              <w:t>Further the unit also confirm that the DTA unit where this VPN is being shared will only be engaged in Export of Services</w:t>
            </w:r>
            <w:r w:rsidRPr="00021DD1">
              <w:rPr>
                <w:rFonts w:eastAsia="Cambria" w:cstheme="minorHAnsi"/>
                <w:color w:val="000000"/>
                <w:sz w:val="20"/>
              </w:rPr>
              <w:t xml:space="preserve"> </w:t>
            </w:r>
          </w:p>
        </w:tc>
      </w:tr>
      <w:tr w:rsidR="006C70BA" w:rsidRPr="00021DD1" w14:paraId="4AD77BB0" w14:textId="77777777" w:rsidTr="001B3934">
        <w:trPr>
          <w:cantSplit/>
          <w:trHeight w:val="765"/>
          <w:tblHead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541CE21F"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10</w:t>
            </w:r>
          </w:p>
        </w:tc>
        <w:tc>
          <w:tcPr>
            <w:tcW w:w="2980" w:type="dxa"/>
            <w:tcBorders>
              <w:top w:val="single" w:sz="4" w:space="0" w:color="auto"/>
              <w:left w:val="single" w:sz="4" w:space="0" w:color="auto"/>
              <w:bottom w:val="single" w:sz="4" w:space="0" w:color="auto"/>
              <w:right w:val="single" w:sz="4" w:space="0" w:color="auto"/>
            </w:tcBorders>
            <w:shd w:val="clear" w:color="auto" w:fill="auto"/>
          </w:tcPr>
          <w:p w14:paraId="731BB1C0" w14:textId="77777777" w:rsidR="006C70BA" w:rsidRPr="00021DD1" w:rsidRDefault="006C70BA" w:rsidP="001B3934">
            <w:pPr>
              <w:spacing w:after="0" w:line="240" w:lineRule="auto"/>
              <w:rPr>
                <w:rFonts w:eastAsia="Cambria" w:cstheme="minorHAnsi"/>
                <w:color w:val="000000"/>
                <w:sz w:val="20"/>
              </w:rPr>
            </w:pPr>
            <w:r w:rsidRPr="00021DD1">
              <w:rPr>
                <w:rFonts w:eastAsia="Cambria" w:cstheme="minorHAnsi"/>
                <w:color w:val="000000"/>
                <w:sz w:val="20"/>
              </w:rPr>
              <w:t>Remarks</w:t>
            </w:r>
          </w:p>
        </w:tc>
        <w:tc>
          <w:tcPr>
            <w:tcW w:w="5580" w:type="dxa"/>
            <w:gridSpan w:val="2"/>
            <w:tcBorders>
              <w:top w:val="single" w:sz="4" w:space="0" w:color="auto"/>
              <w:left w:val="single" w:sz="4" w:space="0" w:color="auto"/>
              <w:bottom w:val="single" w:sz="4" w:space="0" w:color="auto"/>
              <w:right w:val="single" w:sz="4" w:space="0" w:color="auto"/>
            </w:tcBorders>
            <w:shd w:val="clear" w:color="auto" w:fill="auto"/>
          </w:tcPr>
          <w:p w14:paraId="087F0193" w14:textId="77777777" w:rsidR="00540C87" w:rsidRDefault="006C70BA" w:rsidP="00540C87">
            <w:pPr>
              <w:spacing w:after="0" w:line="240" w:lineRule="auto"/>
              <w:rPr>
                <w:rFonts w:eastAsia="Cambria" w:cstheme="minorHAnsi"/>
                <w:color w:val="000000"/>
                <w:sz w:val="20"/>
              </w:rPr>
            </w:pPr>
            <w:r w:rsidRPr="00021DD1">
              <w:rPr>
                <w:rFonts w:eastAsia="Cambria" w:cstheme="minorHAnsi"/>
                <w:color w:val="000000"/>
                <w:sz w:val="20"/>
              </w:rPr>
              <w:t xml:space="preserve">The request of the Unit for sharing of infrastructure </w:t>
            </w:r>
            <w:r w:rsidR="00540C87">
              <w:rPr>
                <w:rFonts w:eastAsia="Cambria" w:cstheme="minorHAnsi"/>
                <w:color w:val="000000"/>
                <w:sz w:val="20"/>
              </w:rPr>
              <w:t>_______________________________________________</w:t>
            </w:r>
          </w:p>
          <w:p w14:paraId="0B6C0A65" w14:textId="77777777" w:rsidR="006C70BA" w:rsidRPr="00021DD1" w:rsidRDefault="006C70BA" w:rsidP="00540C87">
            <w:pPr>
              <w:spacing w:after="0" w:line="240" w:lineRule="auto"/>
              <w:rPr>
                <w:rFonts w:eastAsia="Cambria" w:cstheme="minorHAnsi"/>
                <w:color w:val="000000"/>
                <w:sz w:val="20"/>
              </w:rPr>
            </w:pPr>
            <w:r w:rsidRPr="00021DD1">
              <w:rPr>
                <w:rFonts w:eastAsia="Cambria" w:cstheme="minorHAnsi"/>
                <w:color w:val="000000"/>
                <w:sz w:val="20"/>
              </w:rPr>
              <w:t>is placed before UAC for its consideration in terms of provisions</w:t>
            </w:r>
            <w:r w:rsidR="00540C87">
              <w:rPr>
                <w:rFonts w:eastAsia="Cambria" w:cstheme="minorHAnsi"/>
                <w:color w:val="000000"/>
                <w:sz w:val="20"/>
              </w:rPr>
              <w:t xml:space="preserve"> </w:t>
            </w:r>
            <w:r w:rsidRPr="00021DD1">
              <w:rPr>
                <w:rFonts w:eastAsia="Cambria" w:cstheme="minorHAnsi"/>
                <w:color w:val="000000"/>
                <w:sz w:val="20"/>
              </w:rPr>
              <w:t>in Rule 27(5) of the SEZ Rules, 2006</w:t>
            </w:r>
          </w:p>
        </w:tc>
      </w:tr>
    </w:tbl>
    <w:p w14:paraId="47B0F537" w14:textId="77777777" w:rsidR="006C70BA" w:rsidRDefault="006C70BA" w:rsidP="006C70BA"/>
    <w:p w14:paraId="6ABC167F" w14:textId="77777777" w:rsidR="009C0050" w:rsidRDefault="009C0050"/>
    <w:sectPr w:rsidR="009C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D6D26"/>
    <w:multiLevelType w:val="hybridMultilevel"/>
    <w:tmpl w:val="243A2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5217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0BA"/>
    <w:rsid w:val="00540C87"/>
    <w:rsid w:val="00666AE4"/>
    <w:rsid w:val="006C70BA"/>
    <w:rsid w:val="00950046"/>
    <w:rsid w:val="009C005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116A"/>
  <w15:docId w15:val="{22036CA3-43A9-42A3-A5BD-9B279363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BA"/>
    <w:rPr>
      <w:rFonts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0BA"/>
    <w:pPr>
      <w:ind w:left="720"/>
      <w:contextualSpacing/>
    </w:pPr>
    <w:rPr>
      <w:rFonts w:ascii="Calibri" w:eastAsia="Calibri" w:hAnsi="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1067</Characters>
  <Application>Microsoft Office Word</Application>
  <DocSecurity>0</DocSecurity>
  <Lines>8</Lines>
  <Paragraphs>2</Paragraphs>
  <ScaleCrop>false</ScaleCrop>
  <Company>Hewlett-Packard Company</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MEPZ</dc:creator>
  <cp:lastModifiedBy>Ravi</cp:lastModifiedBy>
  <cp:revision>3</cp:revision>
  <dcterms:created xsi:type="dcterms:W3CDTF">2024-01-16T05:12:00Z</dcterms:created>
  <dcterms:modified xsi:type="dcterms:W3CDTF">2025-04-17T08:34:00Z</dcterms:modified>
</cp:coreProperties>
</file>